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Органы местного самоуправления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 Органы местного самоуправления</w:t>
            </w: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7" w:history="1">
              <w:r>
                <w:rPr/>
                <w:t xml:space="preserve"> Гражданская оборона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8" w:history="1">
              <w:r>
                <w:rPr/>
                <w:t xml:space="preserve"> Защита населения и территорий от чрезвычайных ситуаций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9" w:history="1">
              <w:r>
                <w:rPr/>
                <w:t xml:space="preserve"> Пожарная безопасность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numPr>
                <w:ilvl w:val="0"/>
                <w:numId w:val="6"/>
              </w:numPr>
            </w:pPr>
            <w:hyperlink r:id="rId10" w:history="1">
              <w:r>
                <w:rPr/>
                <w:t xml:space="preserve"> Перечень населенных пунктов, не обеспечивающих выполнение требований пожарной безопасности</w:t>
              </w:r>
            </w:hyperlink>
          </w:p>
          <w:p>
            <w:pPr>
              <w:jc w:val="start"/>
            </w:pPr>
            <w:r>
              <w:rPr/>
              <w:t xml:space="preserve"> </w:t>
            </w:r>
          </w:p>
          <w:p>
            <w:pPr>
              <w:jc w:val="start"/>
            </w:pPr>
            <w:r>
              <w:rPr/>
              <w:t xml:space="preserve"> </w:t>
            </w:r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 Министерство Российской Федерации по делам гражданской обороны, чрезвычайным ситуациям и ликвидации последствий стихийных бедствий 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6">
    <w:nsid w:val="BD62F30B"/>
    <w:multiLevelType w:val="hybridMultilevel"/>
    <w:lvl w:ilvl="0">
      <w:start w:val="1"/>
      <w:numFmt w:val="bullet"/>
      <w:suff w:val="tab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>
      <w:start w:val="1"/>
      <w:numFmt w:val="bullet"/>
      <w:suff w:val="tab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suff w:val="tab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suff w:val="tab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suff w:val="tab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suff w:val="tab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suff w:val="tab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suff w:val="tab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suff w:val="tab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num w:numId="6">
    <w:abstractNumId w:val="6"/>
  </w:num>
</w:numbering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hyperlink" Target="/deyatelnost/nadzornaya-deyatelnost-i-profilakticheskaya-rabota/5-plany-i-rezultaty-provedeniya-planovyh-proverok/proverka-organov-vlasti/organy-mestnogo-samoupravleniya/grazhdanskaya-oborona" TargetMode="External"/><Relationship Id="rId8" Type="http://schemas.openxmlformats.org/officeDocument/2006/relationships/hyperlink" Target="/deyatelnost/nadzornaya-deyatelnost-i-profilakticheskaya-rabota/5-plany-i-rezultaty-provedeniya-planovyh-proverok/proverka-organov-vlasti/organy-mestnogo-samoupravleniya/zashchita-naseleniya-i-territoriy-ot-chrezvychaynyh-situaciy" TargetMode="External"/><Relationship Id="rId9" Type="http://schemas.openxmlformats.org/officeDocument/2006/relationships/hyperlink" Target="/deyatelnost/nadzornaya-deyatelnost-i-profilakticheskaya-rabota/5-plany-i-rezultaty-provedeniya-planovyh-proverok/proverka-organov-vlasti/organy-mestnogo-samoupravleniya/pozharnaya-bezopasnost" TargetMode="External"/><Relationship Id="rId10" Type="http://schemas.openxmlformats.org/officeDocument/2006/relationships/hyperlink" Target="/deyatelnost/nadzornaya-deyatelnost-i-profilakticheskaya-rabota/5-plany-i-rezultaty-provedeniya-planovyh-proverok/proverka-organov-vlasti/organy-mestnogo-samoupravleniya/perechen-naselennyh-punktov-ne-obespechivayushchih-vypolnenie-trebovaniy-pozharnoy-bezopasnost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2021-05-20T06:46:41+03:00</dcterms:created>
  <dcterms:modified xsi:type="dcterms:W3CDTF">2021-05-20T06:46:41+03:00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